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49" w:rsidRDefault="00F249E0">
      <w:pPr>
        <w:pStyle w:val="BodyText"/>
        <w:spacing w:before="240" w:after="0" w:line="240" w:lineRule="auto"/>
        <w:rPr>
          <w:b/>
          <w:color w:val="000000"/>
        </w:rPr>
      </w:pPr>
      <w:bookmarkStart w:id="0" w:name="docs-internal-guid-70c8a00b-7fff-5da4-48"/>
      <w:bookmarkEnd w:id="0"/>
      <w:r>
        <w:rPr>
          <w:noProof/>
        </w:rPr>
        <w:drawing>
          <wp:anchor distT="0" distB="0" distL="0" distR="0" simplePos="0" relativeHeight="2" behindDoc="0" locked="0" layoutInCell="1" allowOverlap="1">
            <wp:simplePos x="0" y="0"/>
            <wp:positionH relativeFrom="column">
              <wp:posOffset>2370455</wp:posOffset>
            </wp:positionH>
            <wp:positionV relativeFrom="paragraph">
              <wp:posOffset>-76835</wp:posOffset>
            </wp:positionV>
            <wp:extent cx="1059815" cy="104267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5"/>
                    <a:stretch>
                      <a:fillRect/>
                    </a:stretch>
                  </pic:blipFill>
                  <pic:spPr bwMode="auto">
                    <a:xfrm>
                      <a:off x="0" y="0"/>
                      <a:ext cx="1059815" cy="1042670"/>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column">
              <wp:posOffset>1905</wp:posOffset>
            </wp:positionH>
            <wp:positionV relativeFrom="paragraph">
              <wp:posOffset>-51435</wp:posOffset>
            </wp:positionV>
            <wp:extent cx="1666240" cy="91376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1666240" cy="913765"/>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column">
              <wp:posOffset>4497070</wp:posOffset>
            </wp:positionH>
            <wp:positionV relativeFrom="paragraph">
              <wp:posOffset>-31115</wp:posOffset>
            </wp:positionV>
            <wp:extent cx="1455420" cy="109156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1455420" cy="1091565"/>
                    </a:xfrm>
                    <a:prstGeom prst="rect">
                      <a:avLst/>
                    </a:prstGeom>
                  </pic:spPr>
                </pic:pic>
              </a:graphicData>
            </a:graphic>
          </wp:anchor>
        </w:drawing>
      </w:r>
    </w:p>
    <w:p w:rsidR="00B32749" w:rsidRDefault="00B32749">
      <w:pPr>
        <w:pStyle w:val="BodyText"/>
        <w:spacing w:after="0" w:line="331" w:lineRule="auto"/>
        <w:rPr>
          <w:color w:val="000000"/>
        </w:rPr>
      </w:pPr>
    </w:p>
    <w:p w:rsidR="00B32749" w:rsidRDefault="00B32749">
      <w:pPr>
        <w:pStyle w:val="BodyText"/>
        <w:spacing w:before="240" w:after="0" w:line="240" w:lineRule="auto"/>
        <w:rPr>
          <w:b/>
          <w:color w:val="000000"/>
          <w:u w:val="single"/>
        </w:rPr>
      </w:pPr>
    </w:p>
    <w:p w:rsidR="00B32749" w:rsidRDefault="00B32749">
      <w:pPr>
        <w:pStyle w:val="BodyText"/>
        <w:pBdr>
          <w:bottom w:val="single" w:sz="6" w:space="1" w:color="auto"/>
        </w:pBdr>
        <w:spacing w:before="240" w:after="0" w:line="240" w:lineRule="auto"/>
        <w:rPr>
          <w:b/>
          <w:color w:val="000000"/>
          <w:u w:val="single"/>
        </w:rPr>
      </w:pPr>
    </w:p>
    <w:p w:rsidR="00F249E0" w:rsidRDefault="00F249E0">
      <w:pPr>
        <w:pStyle w:val="BodyText"/>
        <w:pBdr>
          <w:bottom w:val="single" w:sz="6" w:space="1" w:color="auto"/>
        </w:pBdr>
        <w:spacing w:before="240" w:after="0" w:line="240" w:lineRule="auto"/>
        <w:rPr>
          <w:b/>
          <w:color w:val="000000"/>
          <w:u w:val="single"/>
        </w:rPr>
      </w:pPr>
    </w:p>
    <w:p w:rsidR="00B32749" w:rsidRDefault="00F249E0">
      <w:pPr>
        <w:pStyle w:val="BodyText"/>
        <w:spacing w:before="240" w:after="0" w:line="240" w:lineRule="auto"/>
      </w:pPr>
      <w:bookmarkStart w:id="1" w:name="docs-internal-guid-259fc513-7fff-ebbc-c1"/>
      <w:bookmarkEnd w:id="1"/>
      <w:r>
        <w:rPr>
          <w:b/>
          <w:color w:val="000000"/>
          <w:u w:val="single"/>
        </w:rPr>
        <w:t>To:</w:t>
      </w:r>
      <w:r>
        <w:rPr>
          <w:color w:val="000000"/>
        </w:rPr>
        <w:t xml:space="preserve"> </w:t>
      </w:r>
      <w:r>
        <w:rPr>
          <w:color w:val="000000"/>
        </w:rPr>
        <w:t>The Massachusetts Department of Public Health</w:t>
      </w:r>
    </w:p>
    <w:p w:rsidR="00B32749" w:rsidRDefault="00F249E0">
      <w:pPr>
        <w:pStyle w:val="BodyText"/>
        <w:spacing w:before="240" w:after="0" w:line="240" w:lineRule="auto"/>
      </w:pPr>
      <w:r>
        <w:rPr>
          <w:b/>
          <w:color w:val="000000"/>
          <w:u w:val="single"/>
        </w:rPr>
        <w:t>From:</w:t>
      </w:r>
      <w:r>
        <w:rPr>
          <w:color w:val="000000"/>
        </w:rPr>
        <w:t xml:space="preserve"> Members of </w:t>
      </w:r>
      <w:r>
        <w:rPr>
          <w:color w:val="000000"/>
        </w:rPr>
        <w:t xml:space="preserve">Arise for Social Justice, The </w:t>
      </w:r>
      <w:proofErr w:type="spellStart"/>
      <w:r>
        <w:rPr>
          <w:color w:val="000000"/>
        </w:rPr>
        <w:t>Mold</w:t>
      </w:r>
      <w:proofErr w:type="spellEnd"/>
      <w:r>
        <w:rPr>
          <w:color w:val="000000"/>
        </w:rPr>
        <w:t xml:space="preserve"> Action Committee, and Western Massachusetts Science for the People</w:t>
      </w:r>
    </w:p>
    <w:p w:rsidR="00B32749" w:rsidRDefault="00F249E0">
      <w:pPr>
        <w:pStyle w:val="BodyText"/>
        <w:spacing w:before="240" w:after="0" w:line="240" w:lineRule="auto"/>
      </w:pPr>
      <w:r>
        <w:rPr>
          <w:b/>
          <w:color w:val="000000"/>
          <w:u w:val="single"/>
        </w:rPr>
        <w:t>Subject:</w:t>
      </w:r>
      <w:r>
        <w:rPr>
          <w:color w:val="000000"/>
        </w:rPr>
        <w:t xml:space="preserve"> </w:t>
      </w:r>
      <w:r>
        <w:rPr>
          <w:color w:val="000000"/>
        </w:rPr>
        <w:t>Comments on proposed amendments to 105 CMR 410.000 – Minimum Standards</w:t>
      </w:r>
      <w:r>
        <w:rPr>
          <w:color w:val="000000"/>
        </w:rPr>
        <w:t xml:space="preserve"> of Fitness for Human Habitation (State Sanitary Code, Chapter II)</w:t>
      </w:r>
    </w:p>
    <w:p w:rsidR="00B32749" w:rsidRDefault="00F249E0">
      <w:pPr>
        <w:pStyle w:val="BodyText"/>
        <w:spacing w:before="240" w:after="0" w:line="240" w:lineRule="auto"/>
      </w:pPr>
      <w:r>
        <w:rPr>
          <w:b/>
          <w:color w:val="000000"/>
          <w:u w:val="single"/>
        </w:rPr>
        <w:t>Date:</w:t>
      </w:r>
      <w:r>
        <w:rPr>
          <w:color w:val="000000"/>
        </w:rPr>
        <w:t xml:space="preserve"> </w:t>
      </w:r>
      <w:r>
        <w:rPr>
          <w:color w:val="000000"/>
        </w:rPr>
        <w:t>28 August 2019</w:t>
      </w:r>
    </w:p>
    <w:p w:rsidR="00B32749" w:rsidRDefault="00F249E0">
      <w:pPr>
        <w:pStyle w:val="BodyText"/>
        <w:spacing w:before="240" w:after="0" w:line="240" w:lineRule="auto"/>
        <w:rPr>
          <w:color w:val="000000"/>
        </w:rPr>
      </w:pPr>
      <w:r>
        <w:rPr>
          <w:color w:val="000000"/>
        </w:rPr>
        <w:t>We thank the Department of Public Health for its continued efforts to amend the State Sanitary Code to better protect the health of all residents of Massachusetts.</w:t>
      </w:r>
    </w:p>
    <w:p w:rsidR="00B32749" w:rsidRDefault="00F249E0">
      <w:pPr>
        <w:pStyle w:val="BodyText"/>
        <w:spacing w:before="240" w:after="0" w:line="240" w:lineRule="auto"/>
        <w:rPr>
          <w:color w:val="000000"/>
        </w:rPr>
      </w:pPr>
      <w:r>
        <w:rPr>
          <w:color w:val="000000"/>
        </w:rPr>
        <w:t>Whil</w:t>
      </w:r>
      <w:r>
        <w:rPr>
          <w:color w:val="000000"/>
        </w:rPr>
        <w:t xml:space="preserve">e we are pleased to see a number of improvements in the Code, we have also identified several gaps that, if not corrected, will prevent the commonwealth from effectively addressing the serious health problems posed by </w:t>
      </w:r>
      <w:proofErr w:type="spellStart"/>
      <w:r>
        <w:rPr>
          <w:color w:val="000000"/>
        </w:rPr>
        <w:t>mold</w:t>
      </w:r>
      <w:proofErr w:type="spellEnd"/>
      <w:r>
        <w:rPr>
          <w:color w:val="000000"/>
        </w:rPr>
        <w:t>.</w:t>
      </w:r>
    </w:p>
    <w:p w:rsidR="00B32749" w:rsidRDefault="00F249E0">
      <w:pPr>
        <w:pStyle w:val="BodyText"/>
        <w:spacing w:before="240" w:after="0" w:line="240" w:lineRule="auto"/>
        <w:rPr>
          <w:color w:val="000000"/>
          <w:u w:val="single"/>
        </w:rPr>
      </w:pPr>
      <w:r>
        <w:rPr>
          <w:color w:val="000000"/>
          <w:u w:val="single"/>
        </w:rPr>
        <w:t>Positives in the Proposed Revisi</w:t>
      </w:r>
      <w:r>
        <w:rPr>
          <w:color w:val="000000"/>
          <w:u w:val="single"/>
        </w:rPr>
        <w:t>ons:</w:t>
      </w:r>
    </w:p>
    <w:p w:rsidR="00B32749" w:rsidRDefault="00F249E0">
      <w:pPr>
        <w:pStyle w:val="BodyText"/>
        <w:numPr>
          <w:ilvl w:val="0"/>
          <w:numId w:val="2"/>
        </w:numPr>
        <w:tabs>
          <w:tab w:val="left" w:pos="0"/>
        </w:tabs>
        <w:spacing w:before="240" w:after="0" w:line="240" w:lineRule="auto"/>
        <w:rPr>
          <w:color w:val="000000"/>
        </w:rPr>
      </w:pPr>
      <w:r>
        <w:rPr>
          <w:color w:val="000000"/>
        </w:rPr>
        <w:t xml:space="preserve">The criterion for establishing that a residence is unfit for habitation has shifted from </w:t>
      </w:r>
      <w:proofErr w:type="spellStart"/>
      <w:r>
        <w:rPr>
          <w:color w:val="000000"/>
        </w:rPr>
        <w:t>mold</w:t>
      </w:r>
      <w:proofErr w:type="spellEnd"/>
      <w:r>
        <w:rPr>
          <w:color w:val="000000"/>
        </w:rPr>
        <w:t xml:space="preserve"> to “dampness.” This opens greater possibilities for preventive action: damp conditions can be required to be remediated before </w:t>
      </w:r>
      <w:proofErr w:type="spellStart"/>
      <w:r>
        <w:rPr>
          <w:color w:val="000000"/>
        </w:rPr>
        <w:t>mold</w:t>
      </w:r>
      <w:proofErr w:type="spellEnd"/>
      <w:r>
        <w:rPr>
          <w:color w:val="000000"/>
        </w:rPr>
        <w:t xml:space="preserve"> has a chance to grow.</w:t>
      </w:r>
      <w:r>
        <w:rPr>
          <w:color w:val="000000"/>
        </w:rPr>
        <w:br/>
      </w:r>
    </w:p>
    <w:p w:rsidR="00B32749" w:rsidRDefault="00F249E0">
      <w:pPr>
        <w:pStyle w:val="BodyText"/>
        <w:numPr>
          <w:ilvl w:val="0"/>
          <w:numId w:val="2"/>
        </w:numPr>
        <w:tabs>
          <w:tab w:val="left" w:pos="0"/>
        </w:tabs>
        <w:spacing w:after="240" w:line="240" w:lineRule="auto"/>
      </w:pPr>
      <w:r>
        <w:rPr>
          <w:color w:val="000000"/>
        </w:rPr>
        <w:t>Th</w:t>
      </w:r>
      <w:r>
        <w:rPr>
          <w:color w:val="000000"/>
        </w:rPr>
        <w:t xml:space="preserve">e proposed language does not </w:t>
      </w:r>
      <w:r>
        <w:rPr>
          <w:i/>
          <w:color w:val="000000"/>
        </w:rPr>
        <w:t xml:space="preserve">require </w:t>
      </w:r>
      <w:r>
        <w:rPr>
          <w:color w:val="000000"/>
        </w:rPr>
        <w:t xml:space="preserve">proof of dangerous levels of </w:t>
      </w:r>
      <w:proofErr w:type="spellStart"/>
      <w:r>
        <w:rPr>
          <w:color w:val="000000"/>
        </w:rPr>
        <w:t>mold</w:t>
      </w:r>
      <w:proofErr w:type="spellEnd"/>
      <w:r>
        <w:rPr>
          <w:color w:val="000000"/>
        </w:rPr>
        <w:t xml:space="preserve"> to mandate the repair of conditions leading to dampness (see 410.620(E)(2): “Boards of health shall not be required to conduct environmental testing for </w:t>
      </w:r>
      <w:proofErr w:type="spellStart"/>
      <w:r>
        <w:rPr>
          <w:color w:val="000000"/>
        </w:rPr>
        <w:t>mold</w:t>
      </w:r>
      <w:proofErr w:type="spellEnd"/>
      <w:r>
        <w:rPr>
          <w:color w:val="000000"/>
        </w:rPr>
        <w:t>”).</w:t>
      </w:r>
    </w:p>
    <w:p w:rsidR="00B32749" w:rsidRDefault="00F249E0">
      <w:pPr>
        <w:pStyle w:val="BodyText"/>
        <w:numPr>
          <w:ilvl w:val="0"/>
          <w:numId w:val="2"/>
        </w:numPr>
        <w:tabs>
          <w:tab w:val="left" w:pos="0"/>
        </w:tabs>
        <w:spacing w:after="240" w:line="240" w:lineRule="auto"/>
      </w:pPr>
      <w:r>
        <w:rPr>
          <w:color w:val="000000"/>
        </w:rPr>
        <w:t>The proposed language wi</w:t>
      </w:r>
      <w:r>
        <w:rPr>
          <w:color w:val="000000"/>
        </w:rPr>
        <w:t xml:space="preserve">th its focus on dampness also protects against health effects from other dampness associated issues such as allergens from dust mites and cockroaches. </w:t>
      </w:r>
    </w:p>
    <w:p w:rsidR="00B32749" w:rsidRDefault="00F249E0">
      <w:pPr>
        <w:pStyle w:val="BodyText"/>
        <w:numPr>
          <w:ilvl w:val="0"/>
          <w:numId w:val="3"/>
        </w:numPr>
        <w:tabs>
          <w:tab w:val="left" w:pos="0"/>
        </w:tabs>
        <w:spacing w:after="240" w:line="240" w:lineRule="auto"/>
        <w:rPr>
          <w:color w:val="000000"/>
        </w:rPr>
      </w:pPr>
      <w:r>
        <w:rPr>
          <w:color w:val="000000"/>
        </w:rPr>
        <w:t xml:space="preserve">The revisions allow for occupants to request inspections and remain anonymous; they also protect the </w:t>
      </w:r>
      <w:r>
        <w:rPr>
          <w:color w:val="000000"/>
        </w:rPr>
        <w:t>right of occupants to request inspections even if there are eviction notices or disputes with the landlord.</w:t>
      </w:r>
    </w:p>
    <w:p w:rsidR="00B32749" w:rsidRDefault="00F249E0">
      <w:pPr>
        <w:pStyle w:val="BodyText"/>
        <w:spacing w:before="240" w:after="0" w:line="240" w:lineRule="auto"/>
        <w:rPr>
          <w:color w:val="000000"/>
          <w:u w:val="single"/>
        </w:rPr>
      </w:pPr>
      <w:bookmarkStart w:id="2" w:name="_GoBack"/>
      <w:bookmarkEnd w:id="2"/>
      <w:r>
        <w:rPr>
          <w:color w:val="000000"/>
          <w:u w:val="single"/>
        </w:rPr>
        <w:t>Gaps in the Proposed Revisions that Must Be Addressed:</w:t>
      </w:r>
    </w:p>
    <w:p w:rsidR="00B32749" w:rsidRDefault="00F249E0">
      <w:pPr>
        <w:pStyle w:val="BodyText"/>
        <w:numPr>
          <w:ilvl w:val="0"/>
          <w:numId w:val="4"/>
        </w:numPr>
        <w:tabs>
          <w:tab w:val="left" w:pos="0"/>
        </w:tabs>
        <w:spacing w:before="240" w:after="0" w:line="240" w:lineRule="auto"/>
        <w:rPr>
          <w:color w:val="000000"/>
        </w:rPr>
      </w:pPr>
      <w:r>
        <w:rPr>
          <w:color w:val="000000"/>
        </w:rPr>
        <w:t xml:space="preserve">Under 410.620(E)(2): “Any environmental test results for </w:t>
      </w:r>
      <w:proofErr w:type="spellStart"/>
      <w:r>
        <w:rPr>
          <w:color w:val="000000"/>
        </w:rPr>
        <w:t>mold</w:t>
      </w:r>
      <w:proofErr w:type="spellEnd"/>
      <w:r>
        <w:rPr>
          <w:color w:val="000000"/>
        </w:rPr>
        <w:t xml:space="preserve"> shall not constitute a </w:t>
      </w:r>
      <w:r>
        <w:rPr>
          <w:color w:val="000000"/>
        </w:rPr>
        <w:lastRenderedPageBreak/>
        <w:t>violatio</w:t>
      </w:r>
      <w:r>
        <w:rPr>
          <w:color w:val="000000"/>
        </w:rPr>
        <w:t xml:space="preserve">n of 105 CMR 410.000.” This is highly problematic, because high levels of </w:t>
      </w:r>
      <w:proofErr w:type="spellStart"/>
      <w:r>
        <w:rPr>
          <w:color w:val="000000"/>
        </w:rPr>
        <w:t>mold</w:t>
      </w:r>
      <w:proofErr w:type="spellEnd"/>
      <w:r>
        <w:rPr>
          <w:color w:val="000000"/>
        </w:rPr>
        <w:t xml:space="preserve"> can be present even when dampness is not detected. </w:t>
      </w:r>
      <w:r>
        <w:rPr>
          <w:b/>
          <w:color w:val="000000"/>
        </w:rPr>
        <w:t xml:space="preserve">Positive test results for </w:t>
      </w:r>
      <w:proofErr w:type="spellStart"/>
      <w:r>
        <w:rPr>
          <w:b/>
          <w:color w:val="000000"/>
        </w:rPr>
        <w:t>mold</w:t>
      </w:r>
      <w:proofErr w:type="spellEnd"/>
      <w:r>
        <w:rPr>
          <w:b/>
          <w:color w:val="000000"/>
        </w:rPr>
        <w:t xml:space="preserve"> should be admissible as evidence</w:t>
      </w:r>
      <w:r>
        <w:rPr>
          <w:color w:val="000000"/>
        </w:rPr>
        <w:t xml:space="preserve"> that the dwelling does not constitute a clean, dry indoor spac</w:t>
      </w:r>
      <w:r>
        <w:rPr>
          <w:color w:val="000000"/>
        </w:rPr>
        <w:t xml:space="preserve">e and/or that a problem exists that requires further investigation or remediation, especially when occupants are presenting with symptoms related to </w:t>
      </w:r>
      <w:proofErr w:type="spellStart"/>
      <w:r>
        <w:rPr>
          <w:color w:val="000000"/>
        </w:rPr>
        <w:t>mold</w:t>
      </w:r>
      <w:proofErr w:type="spellEnd"/>
      <w:r>
        <w:rPr>
          <w:color w:val="000000"/>
        </w:rPr>
        <w:t xml:space="preserve"> exposure.</w:t>
      </w:r>
    </w:p>
    <w:p w:rsidR="00B32749" w:rsidRDefault="00B32749">
      <w:pPr>
        <w:pStyle w:val="BodyText"/>
        <w:spacing w:after="0" w:line="240" w:lineRule="auto"/>
        <w:ind w:left="707"/>
      </w:pPr>
    </w:p>
    <w:p w:rsidR="00B32749" w:rsidRDefault="00F249E0">
      <w:pPr>
        <w:pStyle w:val="BodyText"/>
        <w:numPr>
          <w:ilvl w:val="0"/>
          <w:numId w:val="4"/>
        </w:numPr>
        <w:tabs>
          <w:tab w:val="left" w:pos="0"/>
        </w:tabs>
        <w:spacing w:after="0" w:line="240" w:lineRule="auto"/>
        <w:rPr>
          <w:color w:val="000000"/>
        </w:rPr>
      </w:pPr>
      <w:r>
        <w:rPr>
          <w:color w:val="000000"/>
        </w:rPr>
        <w:t xml:space="preserve">The term “chronic dampness” is problematic because it does not define how long dampness needs to exist to be considered “chronic” and it excludes one-time water events that, if not properly cleaned, can produce lasting </w:t>
      </w:r>
      <w:proofErr w:type="spellStart"/>
      <w:r>
        <w:rPr>
          <w:color w:val="000000"/>
        </w:rPr>
        <w:t>mold</w:t>
      </w:r>
      <w:proofErr w:type="spellEnd"/>
      <w:r>
        <w:rPr>
          <w:color w:val="000000"/>
        </w:rPr>
        <w:t xml:space="preserve"> problems. This should be </w:t>
      </w:r>
      <w:r>
        <w:rPr>
          <w:b/>
          <w:color w:val="000000"/>
        </w:rPr>
        <w:t>changed</w:t>
      </w:r>
      <w:r>
        <w:rPr>
          <w:b/>
          <w:color w:val="000000"/>
        </w:rPr>
        <w:t xml:space="preserve"> to “dampness” to include both chronic and acute events.</w:t>
      </w:r>
      <w:r>
        <w:rPr>
          <w:color w:val="000000"/>
        </w:rPr>
        <w:br/>
      </w:r>
    </w:p>
    <w:p w:rsidR="00B32749" w:rsidRDefault="00F249E0">
      <w:pPr>
        <w:pStyle w:val="BodyText"/>
        <w:numPr>
          <w:ilvl w:val="0"/>
          <w:numId w:val="4"/>
        </w:numPr>
        <w:tabs>
          <w:tab w:val="left" w:pos="0"/>
        </w:tabs>
        <w:spacing w:after="0" w:line="240" w:lineRule="auto"/>
        <w:rPr>
          <w:color w:val="000000"/>
        </w:rPr>
      </w:pPr>
      <w:r>
        <w:rPr>
          <w:color w:val="000000"/>
        </w:rPr>
        <w:t xml:space="preserve">The language specifies the need to address the source (e.g., leaks) of the dampness problem, but it does not specify the need to clean up materials contaminated in the course of the water event(s). </w:t>
      </w:r>
      <w:r>
        <w:rPr>
          <w:b/>
          <w:color w:val="000000"/>
        </w:rPr>
        <w:t>An item should be added to the list in 410. 630(A):</w:t>
      </w:r>
      <w:r>
        <w:rPr>
          <w:color w:val="000000"/>
        </w:rPr>
        <w:t xml:space="preserve"> “</w:t>
      </w:r>
      <w:r>
        <w:rPr>
          <w:b/>
          <w:color w:val="000000"/>
        </w:rPr>
        <w:t xml:space="preserve">Failure to remediate, in accordance with EPA guidelines, following chronic dampness or a water event that resulted in the growth of </w:t>
      </w:r>
      <w:proofErr w:type="spellStart"/>
      <w:r>
        <w:rPr>
          <w:b/>
          <w:color w:val="000000"/>
        </w:rPr>
        <w:t>mold</w:t>
      </w:r>
      <w:proofErr w:type="spellEnd"/>
      <w:r>
        <w:rPr>
          <w:b/>
          <w:color w:val="000000"/>
        </w:rPr>
        <w:t xml:space="preserve"> or other fungi</w:t>
      </w:r>
      <w:r>
        <w:rPr>
          <w:color w:val="000000"/>
        </w:rPr>
        <w:t>.”</w:t>
      </w:r>
      <w:r>
        <w:rPr>
          <w:color w:val="000000"/>
        </w:rPr>
        <w:br/>
      </w:r>
    </w:p>
    <w:p w:rsidR="00B32749" w:rsidRDefault="00F249E0">
      <w:pPr>
        <w:pStyle w:val="BodyText"/>
        <w:numPr>
          <w:ilvl w:val="0"/>
          <w:numId w:val="4"/>
        </w:numPr>
        <w:tabs>
          <w:tab w:val="left" w:pos="0"/>
        </w:tabs>
        <w:spacing w:after="240" w:line="240" w:lineRule="auto"/>
        <w:rPr>
          <w:color w:val="000000"/>
        </w:rPr>
      </w:pPr>
      <w:r>
        <w:rPr>
          <w:color w:val="000000"/>
        </w:rPr>
        <w:t>The language lacks specifics on how dampness wil</w:t>
      </w:r>
      <w:r>
        <w:rPr>
          <w:color w:val="000000"/>
        </w:rPr>
        <w:t>l be determined. We recommend the use</w:t>
      </w:r>
      <w:r>
        <w:rPr>
          <w:b/>
          <w:color w:val="000000"/>
        </w:rPr>
        <w:t xml:space="preserve"> of a moisture meter with general guidelines for what constitutes dampness beyond acceptable levels</w:t>
      </w:r>
      <w:r>
        <w:rPr>
          <w:color w:val="000000"/>
        </w:rPr>
        <w:t>.</w:t>
      </w:r>
    </w:p>
    <w:p w:rsidR="00B32749" w:rsidRDefault="00F249E0">
      <w:pPr>
        <w:pStyle w:val="BodyText"/>
        <w:spacing w:before="240" w:after="240" w:line="240" w:lineRule="auto"/>
        <w:rPr>
          <w:color w:val="000000"/>
        </w:rPr>
      </w:pPr>
      <w:r>
        <w:rPr>
          <w:color w:val="000000"/>
        </w:rPr>
        <w:t>Thank you for considering these points. We trust that the positives in the proposed amendments will be preserved whil</w:t>
      </w:r>
      <w:r>
        <w:rPr>
          <w:color w:val="000000"/>
        </w:rPr>
        <w:t>e the gaps are properly addressed.</w:t>
      </w:r>
    </w:p>
    <w:p w:rsidR="00B32749" w:rsidRDefault="00F249E0">
      <w:pPr>
        <w:pStyle w:val="BodyText"/>
        <w:spacing w:before="240" w:after="0" w:line="240" w:lineRule="auto"/>
        <w:rPr>
          <w:color w:val="000000"/>
        </w:rPr>
      </w:pPr>
      <w:r>
        <w:rPr>
          <w:color w:val="000000"/>
        </w:rPr>
        <w:t>Sincerely,</w:t>
      </w:r>
    </w:p>
    <w:p w:rsidR="00B32749" w:rsidRDefault="00B32749">
      <w:pPr>
        <w:pStyle w:val="BodyText"/>
        <w:spacing w:line="240" w:lineRule="auto"/>
      </w:pPr>
    </w:p>
    <w:p w:rsidR="00B32749" w:rsidRDefault="00F249E0">
      <w:pPr>
        <w:pStyle w:val="BodyText"/>
        <w:spacing w:after="0" w:line="240" w:lineRule="auto"/>
        <w:rPr>
          <w:color w:val="000000"/>
        </w:rPr>
      </w:pPr>
      <w:r>
        <w:rPr>
          <w:color w:val="000000"/>
        </w:rPr>
        <w:t>Tatiana Cheeks</w:t>
      </w:r>
    </w:p>
    <w:p w:rsidR="00B32749" w:rsidRDefault="00F249E0">
      <w:pPr>
        <w:pStyle w:val="BodyText"/>
        <w:spacing w:after="0" w:line="240" w:lineRule="auto"/>
        <w:rPr>
          <w:color w:val="000000"/>
        </w:rPr>
      </w:pPr>
      <w:r>
        <w:rPr>
          <w:color w:val="000000"/>
        </w:rPr>
        <w:t>Director</w:t>
      </w:r>
    </w:p>
    <w:p w:rsidR="00B32749" w:rsidRDefault="00F249E0">
      <w:pPr>
        <w:pStyle w:val="BodyText"/>
        <w:spacing w:after="0" w:line="240" w:lineRule="auto"/>
        <w:rPr>
          <w:color w:val="000000"/>
        </w:rPr>
      </w:pPr>
      <w:proofErr w:type="spellStart"/>
      <w:r>
        <w:rPr>
          <w:color w:val="000000"/>
        </w:rPr>
        <w:t>Mold</w:t>
      </w:r>
      <w:proofErr w:type="spellEnd"/>
      <w:r>
        <w:rPr>
          <w:color w:val="000000"/>
        </w:rPr>
        <w:t xml:space="preserve"> Action Committee</w:t>
      </w:r>
    </w:p>
    <w:p w:rsidR="00B32749" w:rsidRDefault="00F249E0">
      <w:pPr>
        <w:pStyle w:val="BodyText"/>
        <w:spacing w:after="0" w:line="240" w:lineRule="auto"/>
        <w:rPr>
          <w:color w:val="000000"/>
        </w:rPr>
      </w:pPr>
      <w:r>
        <w:rPr>
          <w:color w:val="000000"/>
        </w:rPr>
        <w:t>38 School St. </w:t>
      </w:r>
    </w:p>
    <w:p w:rsidR="00B32749" w:rsidRDefault="00F249E0">
      <w:pPr>
        <w:pStyle w:val="BodyText"/>
        <w:spacing w:after="0" w:line="240" w:lineRule="auto"/>
        <w:rPr>
          <w:color w:val="000000"/>
        </w:rPr>
      </w:pPr>
      <w:r>
        <w:rPr>
          <w:color w:val="000000"/>
        </w:rPr>
        <w:t>Springfield, MA 01105</w:t>
      </w:r>
    </w:p>
    <w:p w:rsidR="00B32749" w:rsidRDefault="00B32749">
      <w:pPr>
        <w:pStyle w:val="BodyText"/>
        <w:spacing w:line="240" w:lineRule="auto"/>
      </w:pPr>
    </w:p>
    <w:p w:rsidR="00B32749" w:rsidRDefault="00F249E0">
      <w:pPr>
        <w:pStyle w:val="BodyText"/>
        <w:spacing w:after="0" w:line="240" w:lineRule="auto"/>
        <w:rPr>
          <w:color w:val="000000"/>
        </w:rPr>
      </w:pPr>
      <w:r>
        <w:rPr>
          <w:color w:val="000000"/>
        </w:rPr>
        <w:t xml:space="preserve">Emma </w:t>
      </w:r>
      <w:proofErr w:type="spellStart"/>
      <w:r>
        <w:rPr>
          <w:color w:val="000000"/>
        </w:rPr>
        <w:t>Harnisch</w:t>
      </w:r>
      <w:proofErr w:type="spellEnd"/>
    </w:p>
    <w:p w:rsidR="00B32749" w:rsidRDefault="00F249E0">
      <w:pPr>
        <w:pStyle w:val="BodyText"/>
        <w:spacing w:after="0" w:line="240" w:lineRule="auto"/>
        <w:rPr>
          <w:color w:val="000000"/>
        </w:rPr>
      </w:pPr>
      <w:r>
        <w:rPr>
          <w:color w:val="000000"/>
        </w:rPr>
        <w:t>Member</w:t>
      </w:r>
    </w:p>
    <w:p w:rsidR="00B32749" w:rsidRDefault="00F249E0">
      <w:pPr>
        <w:pStyle w:val="BodyText"/>
        <w:spacing w:after="0" w:line="240" w:lineRule="auto"/>
        <w:rPr>
          <w:color w:val="000000"/>
        </w:rPr>
      </w:pPr>
      <w:r>
        <w:rPr>
          <w:color w:val="000000"/>
        </w:rPr>
        <w:t>Western Massachusetts Science for the People</w:t>
      </w:r>
    </w:p>
    <w:p w:rsidR="00B32749" w:rsidRDefault="00F249E0">
      <w:pPr>
        <w:pStyle w:val="BodyText"/>
        <w:spacing w:after="0" w:line="240" w:lineRule="auto"/>
        <w:rPr>
          <w:color w:val="000000"/>
        </w:rPr>
      </w:pPr>
      <w:r>
        <w:rPr>
          <w:color w:val="000000"/>
        </w:rPr>
        <w:t>11 Walnut Street</w:t>
      </w:r>
    </w:p>
    <w:p w:rsidR="00B32749" w:rsidRDefault="00F249E0">
      <w:pPr>
        <w:pStyle w:val="BodyText"/>
        <w:spacing w:after="0" w:line="240" w:lineRule="auto"/>
        <w:rPr>
          <w:color w:val="000000"/>
        </w:rPr>
      </w:pPr>
      <w:r>
        <w:rPr>
          <w:color w:val="000000"/>
        </w:rPr>
        <w:t>Northampton, MA 01060</w:t>
      </w:r>
    </w:p>
    <w:p w:rsidR="00B32749" w:rsidRDefault="00B32749">
      <w:pPr>
        <w:pStyle w:val="BodyText"/>
        <w:spacing w:line="240" w:lineRule="auto"/>
      </w:pPr>
    </w:p>
    <w:p w:rsidR="00B32749" w:rsidRDefault="00F249E0">
      <w:pPr>
        <w:pStyle w:val="BodyText"/>
        <w:spacing w:after="0" w:line="240" w:lineRule="auto"/>
        <w:rPr>
          <w:color w:val="000000"/>
        </w:rPr>
      </w:pPr>
      <w:r>
        <w:rPr>
          <w:color w:val="000000"/>
        </w:rPr>
        <w:t>Katy Pyle</w:t>
      </w:r>
    </w:p>
    <w:p w:rsidR="00B32749" w:rsidRDefault="00F249E0">
      <w:pPr>
        <w:pStyle w:val="BodyText"/>
        <w:spacing w:after="0" w:line="240" w:lineRule="auto"/>
        <w:rPr>
          <w:color w:val="000000"/>
        </w:rPr>
      </w:pPr>
      <w:r>
        <w:rPr>
          <w:color w:val="000000"/>
        </w:rPr>
        <w:t>Environme</w:t>
      </w:r>
      <w:r>
        <w:rPr>
          <w:color w:val="000000"/>
        </w:rPr>
        <w:t>ntal Justice Organizer</w:t>
      </w:r>
    </w:p>
    <w:p w:rsidR="00B32749" w:rsidRDefault="00F249E0">
      <w:pPr>
        <w:pStyle w:val="BodyText"/>
        <w:spacing w:after="0" w:line="240" w:lineRule="auto"/>
        <w:rPr>
          <w:color w:val="000000"/>
        </w:rPr>
      </w:pPr>
      <w:r>
        <w:rPr>
          <w:color w:val="000000"/>
        </w:rPr>
        <w:t>Arise for Social Justice</w:t>
      </w:r>
    </w:p>
    <w:p w:rsidR="00B32749" w:rsidRDefault="00F249E0">
      <w:pPr>
        <w:pStyle w:val="BodyText"/>
        <w:spacing w:after="0" w:line="240" w:lineRule="auto"/>
        <w:rPr>
          <w:color w:val="000000"/>
        </w:rPr>
      </w:pPr>
      <w:r>
        <w:rPr>
          <w:color w:val="000000"/>
        </w:rPr>
        <w:t>38 School St.</w:t>
      </w:r>
    </w:p>
    <w:p w:rsidR="00B32749" w:rsidRDefault="00F249E0">
      <w:pPr>
        <w:pStyle w:val="BodyText"/>
        <w:spacing w:after="0" w:line="240" w:lineRule="auto"/>
        <w:rPr>
          <w:color w:val="000000"/>
        </w:rPr>
      </w:pPr>
      <w:r>
        <w:rPr>
          <w:color w:val="000000"/>
        </w:rPr>
        <w:t>Springfield, MA 01105</w:t>
      </w:r>
    </w:p>
    <w:p w:rsidR="00B32749" w:rsidRDefault="00B32749">
      <w:pPr>
        <w:pStyle w:val="BodyText"/>
        <w:spacing w:line="240" w:lineRule="auto"/>
      </w:pPr>
    </w:p>
    <w:p w:rsidR="00B32749" w:rsidRDefault="00F249E0">
      <w:pPr>
        <w:pStyle w:val="BodyText"/>
        <w:spacing w:after="0" w:line="240" w:lineRule="auto"/>
        <w:rPr>
          <w:color w:val="000000"/>
        </w:rPr>
      </w:pPr>
      <w:r>
        <w:rPr>
          <w:color w:val="000000"/>
        </w:rPr>
        <w:lastRenderedPageBreak/>
        <w:t>Christine Rogers</w:t>
      </w:r>
    </w:p>
    <w:p w:rsidR="00B32749" w:rsidRDefault="00F249E0">
      <w:pPr>
        <w:pStyle w:val="BodyText"/>
        <w:spacing w:after="0" w:line="240" w:lineRule="auto"/>
        <w:rPr>
          <w:color w:val="000000"/>
        </w:rPr>
      </w:pPr>
      <w:r>
        <w:rPr>
          <w:color w:val="000000"/>
        </w:rPr>
        <w:t>Aerobiology Instruction and Research LLC</w:t>
      </w:r>
    </w:p>
    <w:p w:rsidR="00B32749" w:rsidRDefault="00F249E0">
      <w:pPr>
        <w:pStyle w:val="BodyText"/>
        <w:spacing w:after="0" w:line="240" w:lineRule="auto"/>
        <w:rPr>
          <w:color w:val="000000"/>
        </w:rPr>
      </w:pPr>
      <w:r>
        <w:rPr>
          <w:color w:val="000000"/>
        </w:rPr>
        <w:t>87 Hillside Rd.</w:t>
      </w:r>
    </w:p>
    <w:p w:rsidR="00B32749" w:rsidRDefault="00F249E0">
      <w:pPr>
        <w:pStyle w:val="BodyText"/>
        <w:spacing w:after="0" w:line="240" w:lineRule="auto"/>
        <w:rPr>
          <w:color w:val="000000"/>
        </w:rPr>
      </w:pPr>
      <w:r>
        <w:rPr>
          <w:color w:val="000000"/>
        </w:rPr>
        <w:t>South Deerfield, MA 01373</w:t>
      </w:r>
    </w:p>
    <w:p w:rsidR="00B32749" w:rsidRDefault="00B32749">
      <w:pPr>
        <w:pStyle w:val="BodyText"/>
        <w:spacing w:line="240" w:lineRule="auto"/>
      </w:pPr>
    </w:p>
    <w:p w:rsidR="00B32749" w:rsidRDefault="00F249E0">
      <w:pPr>
        <w:pStyle w:val="BodyText"/>
        <w:spacing w:after="0" w:line="240" w:lineRule="auto"/>
        <w:rPr>
          <w:color w:val="000000"/>
        </w:rPr>
      </w:pPr>
      <w:r>
        <w:rPr>
          <w:color w:val="000000"/>
        </w:rPr>
        <w:t xml:space="preserve">Sigrid </w:t>
      </w:r>
      <w:proofErr w:type="spellStart"/>
      <w:r>
        <w:rPr>
          <w:color w:val="000000"/>
        </w:rPr>
        <w:t>Schmalzer</w:t>
      </w:r>
      <w:proofErr w:type="spellEnd"/>
    </w:p>
    <w:p w:rsidR="00B32749" w:rsidRDefault="00F249E0">
      <w:pPr>
        <w:pStyle w:val="BodyText"/>
        <w:spacing w:after="0" w:line="240" w:lineRule="auto"/>
        <w:rPr>
          <w:color w:val="000000"/>
        </w:rPr>
      </w:pPr>
      <w:r>
        <w:rPr>
          <w:color w:val="000000"/>
        </w:rPr>
        <w:t>Member</w:t>
      </w:r>
    </w:p>
    <w:p w:rsidR="00B32749" w:rsidRDefault="00F249E0">
      <w:pPr>
        <w:pStyle w:val="BodyText"/>
        <w:spacing w:after="0" w:line="240" w:lineRule="auto"/>
        <w:rPr>
          <w:color w:val="000000"/>
        </w:rPr>
      </w:pPr>
      <w:r>
        <w:rPr>
          <w:color w:val="000000"/>
        </w:rPr>
        <w:t>Western Massachusetts Science for the People</w:t>
      </w:r>
    </w:p>
    <w:p w:rsidR="00B32749" w:rsidRDefault="00F249E0">
      <w:pPr>
        <w:pStyle w:val="BodyText"/>
        <w:spacing w:after="0" w:line="240" w:lineRule="auto"/>
        <w:rPr>
          <w:color w:val="000000"/>
        </w:rPr>
      </w:pPr>
      <w:r>
        <w:rPr>
          <w:color w:val="000000"/>
        </w:rPr>
        <w:t>102 Williams St.</w:t>
      </w:r>
    </w:p>
    <w:p w:rsidR="00B32749" w:rsidRDefault="00F249E0">
      <w:pPr>
        <w:pStyle w:val="BodyText"/>
        <w:spacing w:after="0" w:line="240" w:lineRule="auto"/>
        <w:rPr>
          <w:color w:val="000000"/>
        </w:rPr>
      </w:pPr>
      <w:r>
        <w:rPr>
          <w:color w:val="000000"/>
        </w:rPr>
        <w:t>Northampton, MA 01060</w:t>
      </w:r>
    </w:p>
    <w:p w:rsidR="00B32749" w:rsidRDefault="00B32749">
      <w:pPr>
        <w:pStyle w:val="BodyText"/>
        <w:spacing w:line="240" w:lineRule="auto"/>
      </w:pPr>
    </w:p>
    <w:p w:rsidR="00B32749" w:rsidRDefault="00F249E0">
      <w:pPr>
        <w:pStyle w:val="BodyText"/>
        <w:spacing w:after="0" w:line="240" w:lineRule="auto"/>
        <w:rPr>
          <w:color w:val="000000"/>
        </w:rPr>
      </w:pPr>
      <w:r>
        <w:rPr>
          <w:color w:val="000000"/>
        </w:rPr>
        <w:t>Brian Schultz</w:t>
      </w:r>
    </w:p>
    <w:p w:rsidR="00B32749" w:rsidRDefault="00F249E0">
      <w:pPr>
        <w:pStyle w:val="BodyText"/>
        <w:spacing w:after="0" w:line="240" w:lineRule="auto"/>
        <w:rPr>
          <w:color w:val="000000"/>
        </w:rPr>
      </w:pPr>
      <w:r>
        <w:rPr>
          <w:color w:val="000000"/>
        </w:rPr>
        <w:t>Member</w:t>
      </w:r>
    </w:p>
    <w:p w:rsidR="00B32749" w:rsidRDefault="00F249E0">
      <w:pPr>
        <w:pStyle w:val="BodyText"/>
        <w:spacing w:after="0" w:line="240" w:lineRule="auto"/>
        <w:rPr>
          <w:color w:val="000000"/>
        </w:rPr>
      </w:pPr>
      <w:r>
        <w:rPr>
          <w:color w:val="000000"/>
        </w:rPr>
        <w:t>Western Massachusetts Science for the People</w:t>
      </w:r>
    </w:p>
    <w:p w:rsidR="00B32749" w:rsidRDefault="00F249E0">
      <w:pPr>
        <w:pStyle w:val="BodyText"/>
        <w:spacing w:after="0" w:line="240" w:lineRule="auto"/>
        <w:rPr>
          <w:color w:val="000000"/>
        </w:rPr>
      </w:pPr>
      <w:r>
        <w:rPr>
          <w:color w:val="000000"/>
        </w:rPr>
        <w:t>Hampshire College, School of Natural Sciences</w:t>
      </w:r>
    </w:p>
    <w:p w:rsidR="00B32749" w:rsidRDefault="00F249E0">
      <w:pPr>
        <w:pStyle w:val="BodyText"/>
        <w:spacing w:after="0" w:line="240" w:lineRule="auto"/>
        <w:rPr>
          <w:color w:val="000000"/>
        </w:rPr>
      </w:pPr>
      <w:r>
        <w:rPr>
          <w:color w:val="000000"/>
        </w:rPr>
        <w:t>Amherst, MA 01002</w:t>
      </w:r>
    </w:p>
    <w:p w:rsidR="00B32749" w:rsidRDefault="00F249E0">
      <w:pPr>
        <w:pStyle w:val="BodyText"/>
        <w:spacing w:line="240" w:lineRule="auto"/>
      </w:pPr>
      <w:r>
        <w:br/>
      </w:r>
    </w:p>
    <w:sectPr w:rsidR="00B32749">
      <w:pgSz w:w="12240" w:h="15840"/>
      <w:pgMar w:top="1440"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2"/>
    <w:family w:val="auto"/>
    <w:pitch w:val="default"/>
  </w:font>
  <w:font w:name="Liberation Serif">
    <w:altName w:val="Times New Roman"/>
    <w:panose1 w:val="020B0604020202020204"/>
    <w:charset w:val="01"/>
    <w:family w:val="auto"/>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9EB"/>
    <w:multiLevelType w:val="multilevel"/>
    <w:tmpl w:val="A8FA1E4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6CD5E1D"/>
    <w:multiLevelType w:val="multilevel"/>
    <w:tmpl w:val="A7C6FEB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52816226"/>
    <w:multiLevelType w:val="multilevel"/>
    <w:tmpl w:val="1C6CAB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66A92C0E"/>
    <w:multiLevelType w:val="multilevel"/>
    <w:tmpl w:val="9F4C8DB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49"/>
    <w:rsid w:val="00B32749"/>
    <w:rsid w:val="00F2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4C2E0"/>
  <w15:docId w15:val="{A06961D8-1DE4-8249-A588-55364F70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urce Han Sans CN Regular" w:hAnsi="Liberation Serif" w:cs="Lohit Devanagari"/>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inch margins</dc:title>
  <dc:subject/>
  <dc:creator>Emma Harnisch</dc:creator>
  <dc:description/>
  <cp:lastModifiedBy>Emma Harnisch</cp:lastModifiedBy>
  <cp:revision>2</cp:revision>
  <dcterms:created xsi:type="dcterms:W3CDTF">2019-08-30T15:15:00Z</dcterms:created>
  <dcterms:modified xsi:type="dcterms:W3CDTF">2019-08-30T15:15:00Z</dcterms:modified>
  <dc:language>en-US</dc:language>
</cp:coreProperties>
</file>